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B6342" w14:textId="77777777" w:rsidR="000E02D6" w:rsidRDefault="000E02D6" w:rsidP="00E8301A">
      <w:pPr>
        <w:shd w:val="clear" w:color="auto" w:fill="FFFFFF"/>
        <w:spacing w:after="0" w:line="240" w:lineRule="auto"/>
        <w:jc w:val="both"/>
        <w:rPr>
          <w:sz w:val="16"/>
          <w:szCs w:val="16"/>
        </w:rPr>
      </w:pPr>
    </w:p>
    <w:p w14:paraId="54ABB0C5" w14:textId="77777777" w:rsidR="000E02D6" w:rsidRDefault="000E02D6" w:rsidP="00E8301A">
      <w:pPr>
        <w:shd w:val="clear" w:color="auto" w:fill="FFFFFF"/>
        <w:spacing w:after="0" w:line="240" w:lineRule="auto"/>
        <w:jc w:val="both"/>
        <w:rPr>
          <w:sz w:val="16"/>
          <w:szCs w:val="16"/>
        </w:rPr>
      </w:pPr>
    </w:p>
    <w:tbl>
      <w:tblPr>
        <w:tblW w:w="5000" w:type="pct"/>
        <w:tblCellSpacing w:w="6" w:type="dxa"/>
        <w:tblInd w:w="-24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355"/>
      </w:tblGrid>
      <w:tr w:rsidR="000E02D6" w:rsidRPr="002154AC" w14:paraId="79B5F850" w14:textId="77777777" w:rsidTr="00CA28A2">
        <w:trPr>
          <w:tblCellSpacing w:w="6" w:type="dxa"/>
        </w:trPr>
        <w:tc>
          <w:tcPr>
            <w:tcW w:w="9331" w:type="dxa"/>
            <w:shd w:val="clear" w:color="auto" w:fill="FFFFFF"/>
            <w:vAlign w:val="bottom"/>
            <w:hideMark/>
          </w:tcPr>
          <w:p w14:paraId="59A94E94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CA50AC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  <w:lang w:eastAsia="ru-RU"/>
              </w:rPr>
              <w:br/>
            </w:r>
            <w:r w:rsidRPr="002154AC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  <w:lang w:eastAsia="ru-RU"/>
              </w:rPr>
              <w:t>Հավելված</w:t>
            </w:r>
          </w:p>
          <w:p w14:paraId="4F387BE0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Հաստատված է</w:t>
            </w:r>
          </w:p>
          <w:p w14:paraId="44F520BC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ՀՀ հանրային ծառայությունները</w:t>
            </w:r>
            <w:r w:rsidRPr="002154A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կարգավորող</w:t>
            </w:r>
            <w:r w:rsidRPr="002154A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հանձնաժողովի</w:t>
            </w:r>
          </w:p>
          <w:p w14:paraId="0AF59668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2012 թվականի հոկտեմբերի 31-ի</w:t>
            </w:r>
          </w:p>
          <w:p w14:paraId="0A97B98C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N 413-Ն որոշմամբ</w:t>
            </w:r>
          </w:p>
        </w:tc>
      </w:tr>
    </w:tbl>
    <w:p w14:paraId="550407B4" w14:textId="77777777" w:rsidR="000E02D6" w:rsidRPr="002154AC" w:rsidRDefault="000E02D6" w:rsidP="000E02D6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 w:rsidRPr="002154A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  <w:r w:rsidRPr="002154A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ab/>
      </w:r>
    </w:p>
    <w:p w14:paraId="16A85AF0" w14:textId="77777777" w:rsidR="000E02D6" w:rsidRPr="002154AC" w:rsidRDefault="000E02D6" w:rsidP="000E02D6">
      <w:pPr>
        <w:shd w:val="clear" w:color="auto" w:fill="FFFFFF"/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 w:rsidRPr="002154AC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  <w:u w:val="single"/>
          <w:lang w:eastAsia="ru-RU"/>
        </w:rPr>
        <w:t>Ձև</w:t>
      </w:r>
    </w:p>
    <w:p w14:paraId="53B554CB" w14:textId="77777777" w:rsidR="000E02D6" w:rsidRPr="002154AC" w:rsidRDefault="000E02D6" w:rsidP="000E02D6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</w:pPr>
      <w:r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>Տեղեկատվություն հիմնական տեխնիկատնտեսական ցուցանիշների վերաբերյալ</w:t>
      </w:r>
    </w:p>
    <w:p w14:paraId="6E82E502" w14:textId="77777777" w:rsidR="000E02D6" w:rsidRPr="008C49F8" w:rsidRDefault="008C49F8" w:rsidP="000E02D6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 w:eastAsia="ru-RU"/>
        </w:rPr>
      </w:pPr>
      <w:r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 w:eastAsia="ru-RU"/>
        </w:rPr>
        <w:t>Էլեոնորա Սիմոնյան</w:t>
      </w:r>
      <w:r w:rsidR="000E02D6"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 w:eastAsia="ru-RU"/>
        </w:rPr>
        <w:t>ԱՁ</w:t>
      </w:r>
    </w:p>
    <w:p w14:paraId="2E9861D5" w14:textId="467E7EF2" w:rsidR="000E02D6" w:rsidRPr="002154AC" w:rsidRDefault="005A766F" w:rsidP="000E02D6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>2020</w:t>
      </w:r>
      <w:r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 xml:space="preserve"> I</w:t>
      </w:r>
      <w:r w:rsidR="00387E71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>I</w:t>
      </w:r>
      <w:r w:rsidR="000E02D6"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="000E02D6"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>եռամսյակ</w:t>
      </w:r>
      <w:proofErr w:type="spellEnd"/>
    </w:p>
    <w:tbl>
      <w:tblPr>
        <w:tblW w:w="1019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7359"/>
        <w:gridCol w:w="1422"/>
        <w:gridCol w:w="858"/>
      </w:tblGrid>
      <w:tr w:rsidR="000E02D6" w:rsidRPr="002154AC" w14:paraId="74FB506C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EDF5A2" w14:textId="77777777" w:rsidR="000E02D6" w:rsidRPr="002154AC" w:rsidRDefault="000E02D6" w:rsidP="00CA28A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F505B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  <w:lang w:eastAsia="ru-RU"/>
              </w:rPr>
              <w:t>Ցուցանիշները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EA253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  <w:lang w:eastAsia="ru-RU"/>
              </w:rPr>
              <w:t>Չափման միավոր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A264A1" w14:textId="77777777" w:rsidR="000E02D6" w:rsidRPr="002154AC" w:rsidRDefault="000E02D6" w:rsidP="00CA28A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       </w:t>
            </w:r>
          </w:p>
        </w:tc>
      </w:tr>
      <w:tr w:rsidR="000E02D6" w:rsidRPr="002154AC" w14:paraId="3A691A8F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493A9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58A5E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Գործառնական եկամուտներ, այդ թվում`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E1E8A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A76F64" w14:textId="04690842" w:rsidR="000E02D6" w:rsidRPr="00387E71" w:rsidRDefault="00387E71" w:rsidP="008C49F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 w:eastAsia="ru-RU"/>
              </w:rPr>
              <w:t>275</w:t>
            </w:r>
          </w:p>
        </w:tc>
      </w:tr>
      <w:tr w:rsidR="000E02D6" w:rsidRPr="002154AC" w14:paraId="47D482D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2CA18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3CF5F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B48A0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20EA97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0C694BF1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AC3FBB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ա.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15C9A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ձայնային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E66BB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BEB66E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1499E815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9315F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բ.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BDDAF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87170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8ADF01" w14:textId="47B693F2" w:rsidR="000E02D6" w:rsidRPr="00387E71" w:rsidRDefault="00387E71" w:rsidP="008C49F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 w:eastAsia="ru-RU"/>
              </w:rPr>
              <w:t>275</w:t>
            </w:r>
          </w:p>
        </w:tc>
      </w:tr>
      <w:tr w:rsidR="000E02D6" w:rsidRPr="002154AC" w14:paraId="794EEA0D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69226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գ.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58B84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այլ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A2824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6D2C71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0791EE16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75F05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92A1C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փոխկապակցման և կապուղիների վարձակալությամբ տրամադրելու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56585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88E3A3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6A6CB6FE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677DD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3)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543FC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բաժանորդային սարքավորումների և աքսեսուարների վաճառքից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1FB3D8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435DA8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50B3659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B51A9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4)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CB124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այլ գործառնական եկամուտներ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887FA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956E41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13CC0F2C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4D319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75331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Ոչ գործառնական եկամուտներ/(ծախսեր)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36F2F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14E618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57B87425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6EC668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BE38D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Կապիտալ ծախսեր (CAPEX)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970DE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FE5966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</w:p>
        </w:tc>
      </w:tr>
      <w:tr w:rsidR="000E02D6" w:rsidRPr="002154AC" w14:paraId="09DC0EB1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4CA45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49122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Գործառնական ծախսեր (OPEX), այդ թվում՝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49D0F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E14335" w14:textId="1044475E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  <w:r w:rsidRPr="002154AC">
              <w:rPr>
                <w:rFonts w:ascii="Sylfaen" w:eastAsia="Times New Roman" w:hAnsi="Sylfaen" w:cs="Calibri"/>
                <w:color w:val="000000"/>
                <w:sz w:val="21"/>
                <w:szCs w:val="21"/>
                <w:lang w:val="en-US" w:eastAsia="ru-RU"/>
              </w:rPr>
              <w:t>(</w:t>
            </w:r>
            <w:r w:rsidR="00387E71">
              <w:rPr>
                <w:rFonts w:ascii="Calibri" w:eastAsia="Times New Roman" w:hAnsi="Calibri" w:cs="Calibri"/>
                <w:color w:val="000000"/>
                <w:sz w:val="21"/>
                <w:szCs w:val="21"/>
                <w:lang w:val="hy-AM" w:eastAsia="ru-RU"/>
              </w:rPr>
              <w:t>377.5</w:t>
            </w: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)</w:t>
            </w:r>
          </w:p>
        </w:tc>
      </w:tr>
      <w:tr w:rsidR="000E02D6" w:rsidRPr="002154AC" w14:paraId="2C0E5454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2C45E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81E80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փոխկապակցման և կապուղիների վարձակալման ծախսեր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AF818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09E7CD" w14:textId="478D198F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(</w:t>
            </w:r>
            <w:r w:rsidR="00E7406A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28</w:t>
            </w:r>
            <w:r w:rsidR="000B05FB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0</w:t>
            </w: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)</w:t>
            </w:r>
          </w:p>
        </w:tc>
      </w:tr>
      <w:tr w:rsidR="000E02D6" w:rsidRPr="002154AC" w14:paraId="14ABC240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C5DE7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F4BE7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գովազդային և մարքեթինգային ծախսեր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3CCF41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79E2C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7DC1956D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47BC1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3)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06E42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դիլերային միջնորդավճարներ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6C8E8B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A533D1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5ABD8AE4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8E7D8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4)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71ACA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աշխատավարձ և հատուցումներ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FA81D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545E96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</w:p>
        </w:tc>
      </w:tr>
      <w:tr w:rsidR="000E02D6" w:rsidRPr="002154AC" w14:paraId="3FAA6405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8623F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5)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1EC47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այլ գործառնական ծախսեր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63441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374DA5" w14:textId="6B8D2357" w:rsidR="000E02D6" w:rsidRPr="002154AC" w:rsidRDefault="000E02D6" w:rsidP="0005344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(</w:t>
            </w:r>
            <w:r w:rsidR="00387E71">
              <w:rPr>
                <w:rFonts w:ascii="Calibri" w:eastAsia="Times New Roman" w:hAnsi="Calibri" w:cs="Calibri"/>
                <w:color w:val="000000"/>
                <w:sz w:val="21"/>
                <w:szCs w:val="21"/>
                <w:lang w:val="hy-AM" w:eastAsia="ru-RU"/>
              </w:rPr>
              <w:t>137.75</w:t>
            </w: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)</w:t>
            </w:r>
          </w:p>
        </w:tc>
      </w:tr>
      <w:tr w:rsidR="000E02D6" w:rsidRPr="002154AC" w14:paraId="2C44FD0F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CBECA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43B96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Գործառնական շահույթը, մինչև հիմնական միջոցների և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ոչ նյութական ակտիվների ամորտիզացիայի հաշվարկումը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(OIBDA)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2BCD3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6C0D3E" w14:textId="60C1BAD1" w:rsidR="000E02D6" w:rsidRPr="008C49F8" w:rsidRDefault="00451AAC" w:rsidP="008C49F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(</w:t>
            </w:r>
            <w:r w:rsidR="00387E71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 w:eastAsia="ru-RU"/>
              </w:rPr>
              <w:t>102.5</w:t>
            </w: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)</w:t>
            </w:r>
          </w:p>
        </w:tc>
      </w:tr>
      <w:tr w:rsidR="000E02D6" w:rsidRPr="002154AC" w14:paraId="1EDBBD8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ACF3C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0FFBA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Հիմնական միջոցների ամորտիզացիա և ոչ նյութական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ակտիվների ամորտիզացիա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35BC3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814FB5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19B245F3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02B7BC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4FA361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Շահույթ հարկումից առաջ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3B924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67D063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6B01BD0B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3248E7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23A6A7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Շահույթ հարկումից հետո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BD1B4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CB4423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4F5ED31C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BE3007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455F1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բաժանորդների քանակ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5D304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11B522" w14:textId="2AB4138D" w:rsidR="000E02D6" w:rsidRPr="00387E71" w:rsidRDefault="00387E71" w:rsidP="00CB75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1"/>
                <w:szCs w:val="21"/>
                <w:lang w:val="hy-AM" w:eastAsia="ru-RU"/>
              </w:rPr>
              <w:t>21</w:t>
            </w:r>
          </w:p>
        </w:tc>
      </w:tr>
      <w:tr w:rsidR="000E02D6" w:rsidRPr="002154AC" w14:paraId="20BA02E2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D5B97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3880A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ձայնային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ABE3D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500419" w14:textId="77777777" w:rsidR="000E02D6" w:rsidRPr="002154AC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19F8360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0D5CB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AB80D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79E10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BB13EC" w14:textId="43E515B4" w:rsidR="000E02D6" w:rsidRPr="00387E71" w:rsidRDefault="00387E71" w:rsidP="00CB75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 w:eastAsia="ru-RU"/>
              </w:rPr>
              <w:t>21</w:t>
            </w:r>
          </w:p>
        </w:tc>
      </w:tr>
      <w:tr w:rsidR="000E02D6" w:rsidRPr="002154AC" w14:paraId="3E78E4AE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3D7698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FB8D11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 ծառայությունների վաճառքից մեկ բաժանորդին ընկնող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միջին ամսական հասույթ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5FBBF0" w14:textId="0427EF69" w:rsidR="000E02D6" w:rsidRPr="002154AC" w:rsidRDefault="00053444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</w:t>
            </w:r>
            <w:r w:rsidR="000E02D6"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B9BC48" w14:textId="77777777" w:rsidR="000E02D6" w:rsidRPr="002154AC" w:rsidRDefault="008C49F8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5</w:t>
            </w:r>
            <w:r w:rsidR="002E2B82"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000</w:t>
            </w:r>
          </w:p>
        </w:tc>
      </w:tr>
      <w:tr w:rsidR="000E02D6" w:rsidRPr="002154AC" w14:paraId="2D91F135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E9CED6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B0C99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ձայնային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32D4F6" w14:textId="3BC0CAF2" w:rsidR="000E02D6" w:rsidRPr="002154AC" w:rsidRDefault="00053444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</w:t>
            </w:r>
            <w:r w:rsidR="000E02D6"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20CE2A" w14:textId="77777777" w:rsidR="000E02D6" w:rsidRPr="002154AC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712B477F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DF50D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2C8EE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745053" w14:textId="3937DEA9" w:rsidR="000E02D6" w:rsidRPr="002154AC" w:rsidRDefault="00053444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</w:t>
            </w:r>
            <w:r w:rsidR="000E02D6"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3A5066" w14:textId="77777777" w:rsidR="000E02D6" w:rsidRPr="002154AC" w:rsidRDefault="008C49F8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5</w:t>
            </w: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000</w:t>
            </w:r>
          </w:p>
        </w:tc>
      </w:tr>
      <w:tr w:rsidR="000E02D6" w:rsidRPr="002154AC" w14:paraId="6ECDDCF6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62C97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D7136B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 մեկ բաժանորդին ընկնող միջին ամսական տրաֆիկ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10FD7C" w14:textId="77777777" w:rsidR="000E02D6" w:rsidRPr="002154AC" w:rsidRDefault="000E02D6" w:rsidP="00CA28A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D96393" w14:textId="77777777" w:rsidR="000E02D6" w:rsidRPr="002154AC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295575B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A2AC0C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AF2AB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ձայնային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078175" w14:textId="6F460366" w:rsidR="000E02D6" w:rsidRPr="002154AC" w:rsidRDefault="00053444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Ր</w:t>
            </w:r>
            <w:r w:rsidR="000E02D6"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ոպե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FE3573" w14:textId="77777777" w:rsidR="000E02D6" w:rsidRPr="002154AC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35655231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91A78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D59D4C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00349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ՄԲ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EF5A3A" w14:textId="1835F207" w:rsidR="000E02D6" w:rsidRPr="002154AC" w:rsidRDefault="000B05FB" w:rsidP="00CB75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  <w:t>1.3</w:t>
            </w:r>
          </w:p>
        </w:tc>
      </w:tr>
    </w:tbl>
    <w:p w14:paraId="0B0EE3AB" w14:textId="77777777" w:rsidR="000E02D6" w:rsidRPr="002154AC" w:rsidRDefault="000E02D6" w:rsidP="000E02D6">
      <w:pPr>
        <w:shd w:val="clear" w:color="auto" w:fill="FFFFFF"/>
        <w:spacing w:after="0" w:line="240" w:lineRule="auto"/>
        <w:jc w:val="both"/>
      </w:pPr>
    </w:p>
    <w:p w14:paraId="5540BDA2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Աղյուսակի</w:t>
      </w:r>
      <w:r w:rsidRPr="002154AC">
        <w:rPr>
          <w:sz w:val="16"/>
          <w:szCs w:val="16"/>
        </w:rPr>
        <w:t xml:space="preserve"> 1-6-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և</w:t>
      </w:r>
      <w:r w:rsidRPr="002154AC">
        <w:rPr>
          <w:sz w:val="16"/>
          <w:szCs w:val="16"/>
        </w:rPr>
        <w:t xml:space="preserve"> 9-11-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կետերի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տեղեկատվությունը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հրապարակվում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յուրաքանչյուր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եռամսյակի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համար</w:t>
      </w:r>
      <w:r w:rsidRPr="002154AC">
        <w:rPr>
          <w:sz w:val="16"/>
          <w:szCs w:val="16"/>
        </w:rPr>
        <w:t xml:space="preserve">` </w:t>
      </w:r>
      <w:r w:rsidRPr="002154AC">
        <w:rPr>
          <w:rFonts w:ascii="Sylfaen" w:hAnsi="Sylfaen" w:cs="Sylfaen"/>
          <w:sz w:val="16"/>
          <w:szCs w:val="16"/>
        </w:rPr>
        <w:t>մինչև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տվյալ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եռամսյակին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հաջորդող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երրորդ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ամսվա</w:t>
      </w:r>
      <w:r w:rsidRPr="002154AC">
        <w:rPr>
          <w:sz w:val="16"/>
          <w:szCs w:val="16"/>
        </w:rPr>
        <w:t xml:space="preserve"> 30-</w:t>
      </w:r>
      <w:r w:rsidRPr="002154AC">
        <w:rPr>
          <w:rFonts w:ascii="Sylfaen" w:hAnsi="Sylfaen" w:cs="Sylfaen"/>
          <w:sz w:val="16"/>
          <w:szCs w:val="16"/>
        </w:rPr>
        <w:t>ը</w:t>
      </w:r>
      <w:r w:rsidRPr="002154AC">
        <w:rPr>
          <w:sz w:val="16"/>
          <w:szCs w:val="16"/>
        </w:rPr>
        <w:t>:</w:t>
      </w:r>
    </w:p>
    <w:p w14:paraId="2FB7D7A1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Աղյուսակի</w:t>
      </w:r>
      <w:r w:rsidRPr="002154AC">
        <w:rPr>
          <w:sz w:val="16"/>
          <w:szCs w:val="16"/>
        </w:rPr>
        <w:t xml:space="preserve"> 7-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և</w:t>
      </w:r>
      <w:r w:rsidRPr="002154AC">
        <w:rPr>
          <w:sz w:val="16"/>
          <w:szCs w:val="16"/>
        </w:rPr>
        <w:t xml:space="preserve"> 8-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կետերի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տեղեկատվությունը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հրապարակվում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յուրաքանչյուր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տարվա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համար</w:t>
      </w:r>
      <w:r w:rsidRPr="002154AC">
        <w:rPr>
          <w:sz w:val="16"/>
          <w:szCs w:val="16"/>
        </w:rPr>
        <w:t xml:space="preserve">` </w:t>
      </w:r>
      <w:r w:rsidRPr="002154AC">
        <w:rPr>
          <w:rFonts w:ascii="Sylfaen" w:hAnsi="Sylfaen" w:cs="Sylfaen"/>
          <w:sz w:val="16"/>
          <w:szCs w:val="16"/>
        </w:rPr>
        <w:t>մինչև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տվյալ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տարվան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հաջորդող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տարվա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ապրիլի</w:t>
      </w:r>
      <w:r w:rsidRPr="002154AC">
        <w:rPr>
          <w:sz w:val="16"/>
          <w:szCs w:val="16"/>
        </w:rPr>
        <w:t xml:space="preserve"> 30-</w:t>
      </w:r>
      <w:r w:rsidRPr="002154AC">
        <w:rPr>
          <w:rFonts w:ascii="Sylfaen" w:hAnsi="Sylfaen" w:cs="Sylfaen"/>
          <w:sz w:val="16"/>
          <w:szCs w:val="16"/>
        </w:rPr>
        <w:t>ը</w:t>
      </w:r>
      <w:r w:rsidRPr="002154AC">
        <w:rPr>
          <w:sz w:val="16"/>
          <w:szCs w:val="16"/>
        </w:rPr>
        <w:t>:</w:t>
      </w:r>
    </w:p>
    <w:p w14:paraId="3AD804EB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Սույն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աղյուսակում</w:t>
      </w:r>
      <w:r w:rsidRPr="002154AC">
        <w:rPr>
          <w:sz w:val="16"/>
          <w:szCs w:val="16"/>
        </w:rPr>
        <w:t xml:space="preserve"> «</w:t>
      </w:r>
      <w:r w:rsidRPr="002154AC">
        <w:rPr>
          <w:rFonts w:ascii="Sylfaen" w:hAnsi="Sylfaen" w:cs="Sylfaen"/>
          <w:sz w:val="16"/>
          <w:szCs w:val="16"/>
        </w:rPr>
        <w:t>բաժանորդ</w:t>
      </w:r>
      <w:r w:rsidRPr="002154AC">
        <w:rPr>
          <w:sz w:val="16"/>
          <w:szCs w:val="16"/>
        </w:rPr>
        <w:t xml:space="preserve">» </w:t>
      </w:r>
      <w:r w:rsidRPr="002154AC">
        <w:rPr>
          <w:rFonts w:ascii="Sylfaen" w:hAnsi="Sylfaen" w:cs="Sylfaen"/>
          <w:sz w:val="16"/>
          <w:szCs w:val="16"/>
        </w:rPr>
        <w:t>հասկացությունը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սահմանվում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է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որպես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հանրային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էլեկտրոնային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հաղորդակցության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ցանցի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լիցենզիա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ունեցող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անձանց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հետ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ծառայությունների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մատուցման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պայմանագիր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կնքած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անձ</w:t>
      </w:r>
      <w:r w:rsidRPr="002154AC">
        <w:rPr>
          <w:sz w:val="16"/>
          <w:szCs w:val="16"/>
        </w:rPr>
        <w:t>:</w:t>
      </w:r>
    </w:p>
    <w:p w14:paraId="0C418583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Բոլոր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գումարները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նշվում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առանց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ավելացված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արժեքի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հարկի</w:t>
      </w:r>
      <w:r w:rsidRPr="002154AC">
        <w:rPr>
          <w:sz w:val="16"/>
          <w:szCs w:val="16"/>
        </w:rPr>
        <w:t>:</w:t>
      </w:r>
    </w:p>
    <w:p w14:paraId="48ABB9C6" w14:textId="77777777" w:rsidR="000E02D6" w:rsidRPr="009E04A0" w:rsidRDefault="000E02D6" w:rsidP="000E02D6">
      <w:pPr>
        <w:shd w:val="clear" w:color="auto" w:fill="FFFFFF"/>
        <w:spacing w:after="0" w:line="240" w:lineRule="auto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sz w:val="16"/>
          <w:szCs w:val="16"/>
        </w:rPr>
        <w:t xml:space="preserve">* </w:t>
      </w:r>
      <w:r w:rsidRPr="002154AC">
        <w:rPr>
          <w:rFonts w:ascii="Sylfaen" w:hAnsi="Sylfaen" w:cs="Sylfaen"/>
          <w:sz w:val="16"/>
          <w:szCs w:val="16"/>
        </w:rPr>
        <w:t>սույն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նշումով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հոդվածների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ծախսերը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էլեկտրոնային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հաղորդակցության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ցանցի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մասով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առանձնացված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չեն</w:t>
      </w:r>
      <w:r w:rsidRPr="002154AC">
        <w:rPr>
          <w:sz w:val="16"/>
          <w:szCs w:val="16"/>
        </w:rPr>
        <w:t>:</w:t>
      </w:r>
    </w:p>
    <w:p w14:paraId="7F02A9D5" w14:textId="77777777" w:rsidR="000E02D6" w:rsidRPr="009E04A0" w:rsidRDefault="000E02D6" w:rsidP="00E8301A">
      <w:pPr>
        <w:shd w:val="clear" w:color="auto" w:fill="FFFFFF"/>
        <w:spacing w:after="0" w:line="240" w:lineRule="auto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</w:p>
    <w:sectPr w:rsidR="000E02D6" w:rsidRPr="009E04A0" w:rsidSect="009E04A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5C8791" w14:textId="77777777" w:rsidR="000B098D" w:rsidRDefault="000B098D" w:rsidP="00CA50AC">
      <w:pPr>
        <w:spacing w:after="0" w:line="240" w:lineRule="auto"/>
      </w:pPr>
      <w:r>
        <w:separator/>
      </w:r>
    </w:p>
  </w:endnote>
  <w:endnote w:type="continuationSeparator" w:id="0">
    <w:p w14:paraId="729C5BC7" w14:textId="77777777" w:rsidR="000B098D" w:rsidRDefault="000B098D" w:rsidP="00CA5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34E3EE" w14:textId="77777777" w:rsidR="000B098D" w:rsidRDefault="000B098D" w:rsidP="00CA50AC">
      <w:pPr>
        <w:spacing w:after="0" w:line="240" w:lineRule="auto"/>
      </w:pPr>
      <w:r>
        <w:separator/>
      </w:r>
    </w:p>
  </w:footnote>
  <w:footnote w:type="continuationSeparator" w:id="0">
    <w:p w14:paraId="714B37B4" w14:textId="77777777" w:rsidR="000B098D" w:rsidRDefault="000B098D" w:rsidP="00CA5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3D55A6"/>
    <w:multiLevelType w:val="hybridMultilevel"/>
    <w:tmpl w:val="A1803DA6"/>
    <w:lvl w:ilvl="0" w:tplc="9C5038E8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="Sylfae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057"/>
    <w:rsid w:val="00006C8F"/>
    <w:rsid w:val="00053444"/>
    <w:rsid w:val="000B05FB"/>
    <w:rsid w:val="000B098D"/>
    <w:rsid w:val="000E02D6"/>
    <w:rsid w:val="00124246"/>
    <w:rsid w:val="0018592B"/>
    <w:rsid w:val="001C0C80"/>
    <w:rsid w:val="001C664B"/>
    <w:rsid w:val="001E41AE"/>
    <w:rsid w:val="00201361"/>
    <w:rsid w:val="0021470B"/>
    <w:rsid w:val="002154AC"/>
    <w:rsid w:val="00217BDA"/>
    <w:rsid w:val="002A37D2"/>
    <w:rsid w:val="002E2B82"/>
    <w:rsid w:val="003255F0"/>
    <w:rsid w:val="00380014"/>
    <w:rsid w:val="003836FA"/>
    <w:rsid w:val="00387E71"/>
    <w:rsid w:val="00392430"/>
    <w:rsid w:val="00415B58"/>
    <w:rsid w:val="004203C5"/>
    <w:rsid w:val="00451AAC"/>
    <w:rsid w:val="0049285F"/>
    <w:rsid w:val="00494EC5"/>
    <w:rsid w:val="0049543F"/>
    <w:rsid w:val="004A0ABD"/>
    <w:rsid w:val="0050279C"/>
    <w:rsid w:val="00507A9D"/>
    <w:rsid w:val="00520659"/>
    <w:rsid w:val="00595ED3"/>
    <w:rsid w:val="005A766F"/>
    <w:rsid w:val="005D6370"/>
    <w:rsid w:val="0061761A"/>
    <w:rsid w:val="00626210"/>
    <w:rsid w:val="006977AA"/>
    <w:rsid w:val="006E220E"/>
    <w:rsid w:val="00731157"/>
    <w:rsid w:val="007779AB"/>
    <w:rsid w:val="0078701B"/>
    <w:rsid w:val="007A79F6"/>
    <w:rsid w:val="00881136"/>
    <w:rsid w:val="00884626"/>
    <w:rsid w:val="008C49F8"/>
    <w:rsid w:val="00902006"/>
    <w:rsid w:val="00930AE8"/>
    <w:rsid w:val="009702F3"/>
    <w:rsid w:val="009D0FF9"/>
    <w:rsid w:val="009E04A0"/>
    <w:rsid w:val="009E5420"/>
    <w:rsid w:val="00A123C8"/>
    <w:rsid w:val="00A775B4"/>
    <w:rsid w:val="00AB70C2"/>
    <w:rsid w:val="00AB7987"/>
    <w:rsid w:val="00AD0E10"/>
    <w:rsid w:val="00B03488"/>
    <w:rsid w:val="00B30AB4"/>
    <w:rsid w:val="00BC76CB"/>
    <w:rsid w:val="00C44F14"/>
    <w:rsid w:val="00C824DF"/>
    <w:rsid w:val="00CA50AC"/>
    <w:rsid w:val="00CB758C"/>
    <w:rsid w:val="00D076FC"/>
    <w:rsid w:val="00D237A3"/>
    <w:rsid w:val="00D26F02"/>
    <w:rsid w:val="00DA4D54"/>
    <w:rsid w:val="00DC7C7F"/>
    <w:rsid w:val="00E501FE"/>
    <w:rsid w:val="00E72F86"/>
    <w:rsid w:val="00E7406A"/>
    <w:rsid w:val="00E8127B"/>
    <w:rsid w:val="00E8301A"/>
    <w:rsid w:val="00EF77BD"/>
    <w:rsid w:val="00F555DF"/>
    <w:rsid w:val="00F56454"/>
    <w:rsid w:val="00F82C33"/>
    <w:rsid w:val="00F86FBC"/>
    <w:rsid w:val="00FA7057"/>
    <w:rsid w:val="00FB0F1A"/>
    <w:rsid w:val="00FF150C"/>
    <w:rsid w:val="00FF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52331"/>
  <w15:chartTrackingRefBased/>
  <w15:docId w15:val="{305D6D30-730F-4A15-84CA-C9F870D2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5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CA50AC"/>
    <w:rPr>
      <w:b/>
      <w:bCs/>
    </w:rPr>
  </w:style>
  <w:style w:type="character" w:styleId="Emphasis">
    <w:name w:val="Emphasis"/>
    <w:basedOn w:val="DefaultParagraphFont"/>
    <w:uiPriority w:val="20"/>
    <w:qFormat/>
    <w:rsid w:val="00CA50AC"/>
    <w:rPr>
      <w:i/>
      <w:iCs/>
    </w:rPr>
  </w:style>
  <w:style w:type="character" w:customStyle="1" w:styleId="apple-converted-space">
    <w:name w:val="apple-converted-space"/>
    <w:basedOn w:val="DefaultParagraphFont"/>
    <w:rsid w:val="00CA50AC"/>
  </w:style>
  <w:style w:type="paragraph" w:styleId="Header">
    <w:name w:val="header"/>
    <w:basedOn w:val="Normal"/>
    <w:link w:val="HeaderChar"/>
    <w:uiPriority w:val="99"/>
    <w:unhideWhenUsed/>
    <w:rsid w:val="00CA5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0AC"/>
  </w:style>
  <w:style w:type="paragraph" w:styleId="Footer">
    <w:name w:val="footer"/>
    <w:basedOn w:val="Normal"/>
    <w:link w:val="FooterChar"/>
    <w:uiPriority w:val="99"/>
    <w:unhideWhenUsed/>
    <w:rsid w:val="00CA5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0AC"/>
  </w:style>
  <w:style w:type="paragraph" w:styleId="ListParagraph">
    <w:name w:val="List Paragraph"/>
    <w:basedOn w:val="Normal"/>
    <w:uiPriority w:val="34"/>
    <w:qFormat/>
    <w:rsid w:val="00E83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1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</dc:creator>
  <cp:keywords/>
  <dc:description/>
  <cp:lastModifiedBy>Gor Tandilyan</cp:lastModifiedBy>
  <cp:revision>8</cp:revision>
  <dcterms:created xsi:type="dcterms:W3CDTF">2019-10-24T10:02:00Z</dcterms:created>
  <dcterms:modified xsi:type="dcterms:W3CDTF">2021-04-23T11:00:00Z</dcterms:modified>
</cp:coreProperties>
</file>